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127</w:t>
      </w:r>
    </w:p>
    <w:p>
      <w:r>
        <w:t>Bundesgericht (BGE), 2010-05-28, FR</w:t>
      </w:r>
    </w:p>
    <w:p>
      <w:r>
        <w:rPr>
          <w:b/>
        </w:rPr>
        <w:t xml:space="preserve">Quelle: </w:t>
      </w:r>
      <w:r>
        <w:t>https://mcp.opencaselaw.ch/entscheid/bge_136 IV 127</w:t>
      </w:r>
    </w:p>
    <w:p>
      <w:r>
        <w:t>FR: ATF 136 IV 127</w:t>
      </w:r>
    </w:p>
    <w:p>
      <w:r>
        <w:t>IT: DTF 136 IV 127</w:t>
      </w:r>
    </w:p>
    <w:p>
      <w:pPr>
        <w:pStyle w:val="Heading2"/>
      </w:pPr>
      <w:r>
        <w:t>Regeste</w:t>
      </w:r>
    </w:p>
    <w:p>
      <w:r>
        <w:t>Regeste Art. 305 ter Abs. 1 StGB; mangelnde Sorgfalt bei Finanzgeschäften. Die Verpflichtung zur Dokumentation konkretisiert die Identifikationspflicht, und ihre Missachtung erfüllt den Tatbestand von Art. 305 ter Abs. 1 StGB. Die Modalitäten der Dokumentation fallen hingegen in die Zuständigkeit der Bankinstitute und werden von der genannten Strafbestimmung nicht erfasst (E. 3).</w:t>
      </w:r>
    </w:p>
    <w:p>
      <w:pPr>
        <w:pStyle w:val="Heading2"/>
      </w:pPr>
      <w:r>
        <w:t>Erwägungen</w:t>
      </w:r>
    </w:p>
    <w:p>
      <w:r>
        <w:rPr>
          <w:b/>
        </w:rPr>
        <w:t>E. 3</w:t>
      </w:r>
    </w:p>
    <w:p>
      <w:r>
        <w:t>Invoquant une violation de l'art. 305 ter al. 1 CP, le recourant conteste sa condamnation pour défaut de vigilance en matière d'opérations financières.</w:t>
      </w:r>
    </w:p>
    <w:p>
      <w:r>
        <w:rPr>
          <w:b/>
        </w:rPr>
        <w:t>E. 3.1</w:t>
      </w:r>
    </w:p>
    <w:p>
      <w:r>
        <w:t>Aux termes de cette disposition, celui qui, dans l'exercice de sa profession, aura accepté, gardé en dépôt ou aidé à placer ou à BGE 136 IV 127 S. 128 transférer des valeurs patrimoniales appartenant à un tiers et qui aura omis de vérifier l'identité de l'ayant droit économique avec la vigilance que requièrent les circonstances, sera puni d'une peine privative de liberté d'un an au plus.</w:t>
      </w:r>
    </w:p>
    <w:p>
      <w:r>
        <w:rPr>
          <w:b/>
        </w:rPr>
        <w:t>E. 3.1.1</w:t>
      </w:r>
    </w:p>
    <w:p>
      <w:r>
        <w:t>Cette norme sanctionne un délit de mise en danger abstraite. Le comportement incriminé consiste à effectuer des opérations financières sans identifier l'ayant droit économique. La violation du devoir d'identification est à elle seule suffisante. La question de savoir si les valeurs patrimoniales ont été acquises par l'ayant droit économique de manière répréhensible est sans pertinence ( ATF 125 IV 139 consid. 3b p. 142). L'objet du devoir de diligence visé par l'art. 305 ter al. 1 CP est la constatation ou l'identification de l'ayant droit économique, qui est la personne physique ou morale qui a la possibilité de fait de disposer des valeurs patrimoniales et donc celui à qui ces valeurs appartiennent sous l'angle économique ( ATF 125 IV 139 consid. 3c p. 143). Cette disposition définit un délit continu. Le financier doit procéder à de nouvelles vérifications si, au cours des relations d'affaires, il se rend compte - par la découverte ou la survenance de faits nouveaux - que l'identification est incorrecte, soit par exemple parce que le client l'a trompé ou que l'ayant droit économique a changé (cf. ATF 134 IV 307 consid. 2.4 p. 311).</w:t>
      </w:r>
    </w:p>
    <w:p>
      <w:r>
        <w:rPr>
          <w:b/>
        </w:rPr>
        <w:t>E. 3.1.2</w:t>
      </w:r>
    </w:p>
    <w:p>
      <w:r>
        <w:t>Cette norme pénale tend à assurer la transparence dans le secteur financier afin d'éviter que les blanchisseurs de capitaux ne tirent profit de l'anonymat des relations pour se livrer à leurs activités criminelles. La connaissance du réel propriétaire économique des valeurs doit faciliter les enquêtes pénales. Le but ultime de la norme réside dans la protection de l'administration de la justice pénale. On peut ainsi en déduire que l'objectif visé par la norme pénale est atteint lorsque l'ayant droit économique est identifié. Cette identification implique certes de procéder à des mesures de vérification avec toute la vigilance requise. Reste que si en fin de compte une identification correcte a lieu, il ne paraît guère approprié, dès lors que le but recherché est atteint, d'appliquer l'art. 305 ter CP à celui qui a accompli des vérifications insuffisantes. En ce sens, le résultat importe plus que la manière. En conséquence, cette norme ne saurait être appliquée en cas d'identification correcte de l'ayant droit économique, même si l'intermédiaire financier est parvenu à cette identification sans procéder avec toute la vigilance requise par les circonstances concrètes ( ATF 129 IV 329 consid. 2.5 p. 335 s.). BGE 136 IV 127 S. 129</w:t>
      </w:r>
    </w:p>
    <w:p>
      <w:r>
        <w:rPr>
          <w:b/>
        </w:rPr>
        <w:t>E. 3.1.3</w:t>
      </w:r>
    </w:p>
    <w:p>
      <w:r>
        <w:t>La notion de "vigilance requise par les circonstances" impose au financier un devoir d'identification dont les limites résident dans le principe de la proportionnalité. Le degré de diligence requis n'est pas défini par la loi pénale. Le message du Conseil fédéral de 1989 renvoie à cet égard aux règles internes gouvernant les professions concernées, à savoir, en matière bancaire, à la Convention relative à l'obligation de diligence des banques (cf. Message du 12 juin 1989 concernant la modification du code pénal suisse [Législation sur leblanchissage d'argent et le défaut de vigilance en matière d'opérations financières], FF 1989 II 989). Aujourd'hui, les devoirs de diligence des intermédiaires financiers sont ancrés dans la loi fédéraledu 10 octobre 1997 concernant la lutte contre le blanchiment d'argent et le financement du terrorisme dans le secteur financier (LBA; RS 955.0), loi qui est entrée en vigueur le 1 er avril 1998.</w:t>
      </w:r>
    </w:p>
    <w:p>
      <w:r>
        <w:rPr>
          <w:b/>
        </w:rPr>
        <w:t>E. 3.1.3.1</w:t>
      </w:r>
    </w:p>
    <w:p>
      <w:r>
        <w:t>Selon le message du Conseil fédéral, le processus d'identification exige un minimum de règles écrites (FF 1989 II 989). Selon l' art. 7 LBA ,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Il conserve les documents dix ans après la cessation de la relation d'affaires ou après la fin de la transaction (al. 3). L'art. 23 de l'ordonnance de l'Autorité fédérale de surveillance des marchés financiers du 18 décembre 2002 sur la prévention du blanchiment d'argent et du financement du terrorisme dans le domaine des banques, des négociants en valeurs mobilières et des placements collectifs (OBA-FINMA 1; RS 955.022), entrée en vigueur le 1 er juillet 2003, prévoit que l'intermédiaire financier organise sa documentation de façon à être en mesure d'indiquer dans un délai raisonnable, documents à l'appui, aux autorités de poursuite pénale ou à d'autres autorités habilitées qui est le donneur d'ordre d'un virement sortant et si une entreprise ou une personne: est un cocontractant ou un ayant droit économique (let. a); a effectué une opération de caisse exigeant la vérification de l'identité des personnes concernées (let. b); BGE 136 IV 127 S. 130 dispose d'une procuration durable sur un compte ou un dépôt, dans la mesure où celle-ci ne ressort pas déjà d'un registre officiel (let. c). D'après le ch. 22 de la Convention du 7 avril 2008 relative à l'obligation de diligence des banques (CDG 08), qui concerne l'obligation de documentation, et qui reprend le ch. 22 de la Convention du 2 décembre 2002 relative à l'obligation de diligence des banques (CDB 03), il y a lieu de conserver de manière appropriée le nom, le prénom, la date de naissance, la nationalité et l'adresse du domicile (la raison sociale et le siège, s'il s'agit d'une personne morale ou d'une société) du cocontractant, ainsi que les moyens utilisés pour vérifier son identité. Lorsque le cocontractant provient d'un pays dans lequel les dates de naissance ou les adresses de siège ou de domicile ne sont pas utilisées, l'exigence relative à ces données ne s'applique pas. La photocopie de la pièce de légitimation officielle et les autres documents ayant servi à vérifier l'identité doivent être conservés. Le ch. 23 de la CDG 08 précise que la banque doit prendre des dispositions pour s'assurer que la procédure de vérification de l'identité du cocontractant a été correctement et suffisamment documentée (al. 1). Ces dispositions impliquent notamment que l'arrivée des documents relatifs à la vérification de l'identité du contractant auprès de la banque, ou leur disponibilité dans le système de la banque, puisse être retracée (al. 2). Dans le domaine bancaire, la déclaration du client sur l'identité de l'ayant droit économique est effectuée moyennant le formulaire A de l'Association suisse des banquiers, qui est annexé à la CDB (cf. art. 3 et ch. 30 CDB 08 et CDB 03). Les banques sont toutefois libres d'utiliser un autre formulaire dont le contenu doit toutefois être équivalent à celui du formulaire modèle (cf. ch. 31 CDB 08 et CDB 03).</w:t>
      </w:r>
    </w:p>
    <w:p>
      <w:r>
        <w:rPr>
          <w:b/>
        </w:rPr>
        <w:t>E. 3.1.3.2</w:t>
      </w:r>
    </w:p>
    <w:p>
      <w:r>
        <w:t>L'art. 305 ter CP a pour objet la réunion d'informations susceptibles de faciliter les enquêtes pénales sur l'origine des valeurs. Il doit permettre aux autorités, notamment de poursuite pénale, de reconstituer le puzzle des transactions financières et de remonter plus facilement jusqu'aux cerveaux des organisations financières (cf. FF 1989 II 1989; MARLÈNE KISTLER, La vigilance requise en matière d'opérations financières, 1994, p. 208). Pour ce faire, l'intermédiaire financier doit conserver une trace écrite de l'identité de ses clients et des ayants droit économiques des comptes, de manière à pouvoir communiquer ces renseignements aux autorités compétentes en cas de demande. En effet, même un homme diligent ne saurait se BGE 136 IV 127 S. 131 souvenir du nom, du prénom, de l'adresse, de la date de naissance et de la nationalité de tous ses clients et encore moins de ceux des ayants droit économiques, de sorte qu'une trace écrite de ces données doit être conservée. Cette obligation de documentation constitue la concrétisation du devoir de vérification et son manquement constitue par conséquent une violation de l'art. 305 ter CP (cf. NIKLAUS SCHMID, in Kommentar, Einziehung, Organisiertes Verbrechen, Geldwäscherei, vol. II, 2002, p. 72 s.; KISTLER, op. cit., p. 206; contra notamment: PHILIPPE GRÜNINGER, Die Strafbarkeit der Verletzung von Sorgfaltspflichten bei Finanzgeschäften, Diss. Zürich 2005, p. 149 s.; MARK PIETH, in Basler Kommentar, Strafrecht, vol. II, 2 e éd. 2007, n° 22 ad art. 305 ter CP et les auteurs cités). Cette interprétation est conforme au but de la loi tel que décrit ci-dessus de même qu'aux textes légaux et à la CDB 08 mentionnés au considérant précédent. Reste que la loi pénale et la LBA ne précisent pas la manière dont les actes doivent être documentés, ni n'obligent les banques à tenir un fichier précis ou informatisé. Selon la CDB, les banques restent d'ailleurs libres d'utiliser leurs propres formulaires, même si le contenu de ceux-ci doit être équivalent au formulaire A (cf. ch. 31 CDB 08 et CDB 03). Les modalités de la documentation restent donc de la compétence des établissements bancaires et ne sauraient par conséquent constituer une violation de l'art. 305 ter CP. De plus, conformément à la jurisprudence exposée à l' ATF 129 IV 329 , l'objectif visé par l'art. 305 ter CP est atteint lorsque l'ayant droit économique est identifié, le résultat important plus que la manière.</w:t>
      </w:r>
    </w:p>
    <w:p>
      <w:r>
        <w:rPr>
          <w:b/>
        </w:rPr>
        <w:t>E. 3.2</w:t>
      </w:r>
    </w:p>
    <w:p>
      <w:r>
        <w:t>Le recourant soutient que B.Z. était bien l'ayant droit économique du compte Y. SA, puisqu'il avait le contrôle des valeurs en cause, de sorte qu'aucune omission d'identification ne saurait lui être reprochée. Ce faisant, l'intéressé se contente de nier le fait contesté, à savoir qu'il savait que B.Z. n'était pas l'ayant droit économique du compte Y. SA, ce qui ne suffit manifestement pas à faire admettre l'arbitraire, qui n'est d'ailleurs même pas allégué. Le recours sur ce point ne satisfait pas aux exigences de motivation de l' art. 106 al. 2 LTF , de sorte qu'il n'y a pas lieu d'entrer en matière.</w:t>
      </w:r>
    </w:p>
    <w:p>
      <w:r>
        <w:rPr>
          <w:b/>
        </w:rPr>
        <w:t>E. 3.3</w:t>
      </w:r>
    </w:p>
    <w:p>
      <w:r>
        <w:t>Le recourant conteste avoir violé son devoir de diligence, dès lors qu'il connaissait l'identité de tous les investisseurs italiens, soit des ayants droit du compte Y. SA. Certes, selon les faits retenus, le recourant a laissé subsister, en relation avec le compte Y. SA, un formulaire A qui ne correspondait BGE 136 IV 127 S. 132 plus à la réalité. Reste que, d'après l'arrêt entrepris, le recourant connaissait l'identité des ayants droit de ce compte. Il avait en effet reçu personnellement ces investisseurs à la Banque R., où il leur avait ouvert des comptes sur lesquels ils avaient déposé leurs avoirs, qui avaient ensuite été transférés sur le compte Y. SA (cf. let. A des faits non publiés). Ces constatations cantonales sont toutefois insuffisantes pour savoir si le recourant, agissant comme intermédiaire financier au sens de l' art. 2 al. 2 let. a LBA , a organisé une documentation en relation avec ces investisseurs italiens et s'il lui était par conséquent possible de les identifier, dans un délai raisonnable et pièces à l'appui, comme étant les véritables ayants droit économiques du compte susmentionné en cas de demande effectuée par une autorité de poursuite pénale ou une autre autorité habilitée. Dans ces conditions, les éléments sont insuffisants pour conclure que le recourant a violé son devoir de diligence en matière d'identification. En conséquence, le recours doit être admis sur ce point et la cause doit être retournée en instance cantonale pour compléter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